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rtl w:val="0"/>
        </w:rPr>
        <w:t xml:space="preserve">SHPA Governance Committee Meeting – February 27, 2023</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Via Google Hangouts video conference</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APPROVED BY THE BOARD MARCH 2, 2023</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Renson Anjere</w:t>
        <w:tab/>
        <w:tab/>
        <w:tab/>
      </w: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Lisa Barnidge</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Carolyn Farrell -</w:t>
      </w:r>
      <w:r w:rsidDel="00000000" w:rsidR="00000000" w:rsidRPr="00000000">
        <w:rPr>
          <w:b w:val="1"/>
          <w:rtl w:val="0"/>
        </w:rPr>
        <w:t xml:space="preserve"> </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Molly Lee </w:t>
      </w: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Allison Peterson </w:t>
      </w: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Michael Meyer</w:t>
      </w: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Brent Peterson</w:t>
      </w:r>
      <w:r w:rsidDel="00000000" w:rsidR="00000000" w:rsidRPr="00000000">
        <w:rPr>
          <w:rtl w:val="0"/>
        </w:rPr>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Wes Whalberg</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1440" w:hanging="360"/>
        <w:rPr>
          <w:b w:val="1"/>
        </w:rPr>
      </w:pPr>
      <w:r w:rsidDel="00000000" w:rsidR="00000000" w:rsidRPr="00000000">
        <w:rPr>
          <w:rtl w:val="0"/>
        </w:rPr>
        <w:t xml:space="preserve">Teron Buford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252" w:hanging="252"/>
        <w:rPr>
          <w:rFonts w:ascii="Arial" w:cs="Arial" w:eastAsia="Arial" w:hAnsi="Arial"/>
          <w:color w:val="000000"/>
          <w:sz w:val="20"/>
          <w:szCs w:val="20"/>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lineRule="auto"/>
        <w:ind w:left="252" w:hanging="252"/>
        <w:rPr>
          <w:rFonts w:ascii="Arial" w:cs="Arial" w:eastAsia="Arial" w:hAnsi="Arial"/>
          <w:color w:val="000000"/>
          <w:sz w:val="20"/>
          <w:szCs w:val="20"/>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Arial" w:cs="Arial" w:eastAsia="Arial" w:hAnsi="Arial"/>
          <w:color w:val="000000"/>
          <w:sz w:val="20"/>
          <w:szCs w:val="20"/>
          <w:rtl w:val="0"/>
        </w:rPr>
        <w:t xml:space="preserve">Other Attendees: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rFonts w:ascii="Gill Sans" w:cs="Gill Sans" w:eastAsia="Gill Sans" w:hAnsi="Gill Sans"/>
          <w:b w:val="0"/>
          <w:i w:val="0"/>
          <w:smallCaps w:val="0"/>
          <w:strike w:val="0"/>
          <w:color w:val="000000"/>
          <w:sz w:val="19"/>
          <w:szCs w:val="19"/>
          <w:u w:val="none"/>
          <w:shd w:fill="auto" w:val="clear"/>
          <w:vertAlign w:val="baseline"/>
        </w:rPr>
      </w:pPr>
      <w:r w:rsidDel="00000000" w:rsidR="00000000" w:rsidRPr="00000000">
        <w:rPr>
          <w:rFonts w:ascii="Gill Sans" w:cs="Gill Sans" w:eastAsia="Gill Sans" w:hAnsi="Gill Sans"/>
          <w:b w:val="0"/>
          <w:i w:val="0"/>
          <w:smallCaps w:val="0"/>
          <w:strike w:val="0"/>
          <w:color w:val="000000"/>
          <w:sz w:val="19"/>
          <w:szCs w:val="19"/>
          <w:u w:val="none"/>
          <w:shd w:fill="auto" w:val="clear"/>
          <w:vertAlign w:val="baseline"/>
          <w:rtl w:val="0"/>
        </w:rPr>
        <w:t xml:space="preserve">None.</w:t>
      </w:r>
    </w:p>
    <w:p w:rsidR="00000000" w:rsidDel="00000000" w:rsidP="00000000" w:rsidRDefault="00000000" w:rsidRPr="00000000" w14:paraId="00000012">
      <w:pPr>
        <w:tabs>
          <w:tab w:val="left" w:leader="none" w:pos="-720"/>
          <w:tab w:val="left" w:leader="none" w:pos="1020"/>
          <w:tab w:val="center" w:leader="none" w:pos="4320"/>
        </w:tabs>
        <w:ind w:left="-72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t xml:space="preserve">Mission</w:t>
      </w:r>
    </w:p>
    <w:p w:rsidR="00000000" w:rsidDel="00000000" w:rsidP="00000000" w:rsidRDefault="00000000" w:rsidRPr="00000000" w14:paraId="00000013">
      <w:pPr>
        <w:tabs>
          <w:tab w:val="left" w:leader="none" w:pos="-720"/>
        </w:tabs>
        <w:ind w:left="-720" w:firstLine="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 xml:space="preserve">Seven Hills Preparatory Academy engages students in a rigorous Classical education, designed to prepare </w:t>
      </w:r>
      <w:r w:rsidDel="00000000" w:rsidR="00000000" w:rsidRPr="00000000">
        <w:rPr>
          <w:rFonts w:ascii="Arial" w:cs="Arial" w:eastAsia="Arial" w:hAnsi="Arial"/>
          <w:b w:val="1"/>
          <w:i w:val="1"/>
          <w:color w:val="000000"/>
          <w:sz w:val="20"/>
          <w:szCs w:val="20"/>
          <w:rtl w:val="0"/>
        </w:rPr>
        <w:t xml:space="preserve">each one</w:t>
      </w:r>
      <w:r w:rsidDel="00000000" w:rsidR="00000000" w:rsidRPr="00000000">
        <w:rPr>
          <w:rFonts w:ascii="Arial" w:cs="Arial" w:eastAsia="Arial" w:hAnsi="Arial"/>
          <w:b w:val="1"/>
          <w:color w:val="000000"/>
          <w:sz w:val="20"/>
          <w:szCs w:val="20"/>
          <w:rtl w:val="0"/>
        </w:rPr>
        <w:t xml:space="preserve"> for strong citizenship and life-long learning.</w:t>
      </w:r>
    </w:p>
    <w:p w:rsidR="00000000" w:rsidDel="00000000" w:rsidP="00000000" w:rsidRDefault="00000000" w:rsidRPr="00000000" w14:paraId="00000015">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Governance Committee Charter</w:t>
      </w:r>
    </w:p>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0a1333"/>
          <w:sz w:val="20"/>
          <w:szCs w:val="20"/>
        </w:rPr>
      </w:pPr>
      <w:r w:rsidDel="00000000" w:rsidR="00000000" w:rsidRPr="00000000">
        <w:rPr>
          <w:rFonts w:ascii="Arial" w:cs="Arial" w:eastAsia="Arial" w:hAnsi="Arial"/>
          <w:b w:val="1"/>
          <w:color w:val="0a1333"/>
          <w:sz w:val="20"/>
          <w:szCs w:val="20"/>
          <w:rtl w:val="0"/>
        </w:rPr>
        <w:t xml:space="preserve">The Governance committee is a committee of the School Board of Directors.  The purpose of this committee is to maintain the bylaws of the board of directors and the Seven Hills Preparatory Academy non-profit entity. The committee proactively reviews its existing by-laws and policies to ensure that they are current and will recommend any modifications, additions, or deletions from existing policies to the full board of directors. The committee also coordinates and maintains the board member training requirements and ensures compliance with all federal, state, authorizer and SHPA board requirements. The committee shall meet at a frequency as determined by the committee chair as necessary to accomplish its goals. This committee shall strive to secure membership on the committee of volunteers with governance experience.</w:t>
      </w:r>
    </w:p>
    <w:p w:rsidR="00000000" w:rsidDel="00000000" w:rsidP="00000000" w:rsidRDefault="00000000" w:rsidRPr="00000000" w14:paraId="00000019">
      <w:pPr>
        <w:rPr>
          <w:rFonts w:ascii="Arial" w:cs="Arial" w:eastAsia="Arial" w:hAnsi="Arial"/>
          <w:b w:val="1"/>
          <w:color w:val="0a1333"/>
          <w:sz w:val="20"/>
          <w:szCs w:val="20"/>
        </w:rPr>
      </w:pPr>
      <w:r w:rsidDel="00000000" w:rsidR="00000000" w:rsidRPr="00000000">
        <w:rPr>
          <w:rFonts w:ascii="Arial" w:cs="Arial" w:eastAsia="Arial" w:hAnsi="Arial"/>
          <w:b w:val="1"/>
          <w:color w:val="0a1333"/>
          <w:sz w:val="20"/>
          <w:szCs w:val="20"/>
          <w:rtl w:val="0"/>
        </w:rPr>
        <w:t xml:space="preserve">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276" w:lineRule="auto"/>
        <w:ind w:left="81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Discussed policies 526 and 701.1.</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276" w:lineRule="auto"/>
        <w:ind w:left="81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Reviewed policy 515</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76" w:lineRule="auto"/>
        <w:ind w:left="81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Forwarded policies required for annual review to school </w:t>
      </w:r>
      <w:r w:rsidDel="00000000" w:rsidR="00000000" w:rsidRPr="00000000">
        <w:rPr>
          <w:rFonts w:ascii="Arial" w:cs="Arial" w:eastAsia="Arial" w:hAnsi="Arial"/>
          <w:sz w:val="20"/>
          <w:szCs w:val="20"/>
          <w:rtl w:val="0"/>
        </w:rPr>
        <w:t xml:space="preserve">attorneys</w:t>
      </w:r>
      <w:r w:rsidDel="00000000" w:rsidR="00000000" w:rsidRPr="00000000">
        <w:rPr>
          <w:rFonts w:ascii="Arial" w:cs="Arial" w:eastAsia="Arial" w:hAnsi="Arial"/>
          <w:color w:val="000000"/>
          <w:sz w:val="20"/>
          <w:szCs w:val="20"/>
          <w:rtl w:val="0"/>
        </w:rPr>
        <w:t xml:space="preserve"> to confirm if any changes are required. </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276" w:lineRule="auto"/>
        <w:ind w:left="81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Fist to five evaluations: </w:t>
      </w:r>
    </w:p>
    <w:p w:rsidR="00000000" w:rsidDel="00000000" w:rsidP="00000000" w:rsidRDefault="00000000" w:rsidRPr="00000000" w14:paraId="0000001E">
      <w:pPr>
        <w:numPr>
          <w:ilvl w:val="1"/>
          <w:numId w:val="4"/>
        </w:numPr>
        <w:pBdr>
          <w:top w:space="0" w:sz="0" w:val="nil"/>
          <w:left w:space="0" w:sz="0" w:val="nil"/>
          <w:bottom w:space="0" w:sz="0" w:val="nil"/>
          <w:right w:space="0" w:sz="0" w:val="nil"/>
          <w:between w:space="0" w:sz="0" w:val="nil"/>
        </w:pBdr>
        <w:spacing w:line="276" w:lineRule="auto"/>
        <w:ind w:left="117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Two people rated the meeting a 5/5 </w:t>
      </w:r>
    </w:p>
    <w:p w:rsidR="00000000" w:rsidDel="00000000" w:rsidP="00000000" w:rsidRDefault="00000000" w:rsidRPr="00000000" w14:paraId="0000001F">
      <w:pPr>
        <w:numPr>
          <w:ilvl w:val="1"/>
          <w:numId w:val="4"/>
        </w:numPr>
        <w:pBdr>
          <w:top w:space="0" w:sz="0" w:val="nil"/>
          <w:left w:space="0" w:sz="0" w:val="nil"/>
          <w:bottom w:space="0" w:sz="0" w:val="nil"/>
          <w:right w:space="0" w:sz="0" w:val="nil"/>
          <w:between w:space="0" w:sz="0" w:val="nil"/>
        </w:pBdr>
        <w:spacing w:line="276" w:lineRule="auto"/>
        <w:ind w:left="117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Four people rated the meeting a 4/5. </w:t>
      </w:r>
    </w:p>
    <w:p w:rsidR="00000000" w:rsidDel="00000000" w:rsidP="00000000" w:rsidRDefault="00000000" w:rsidRPr="00000000" w14:paraId="00000020">
      <w:pPr>
        <w:tabs>
          <w:tab w:val="left" w:leader="none" w:pos="460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tabs>
          <w:tab w:val="left" w:leader="none" w:pos="4605"/>
        </w:tabs>
        <w:rPr>
          <w:rFonts w:ascii="Arial" w:cs="Arial" w:eastAsia="Arial" w:hAnsi="Arial"/>
          <w:sz w:val="20"/>
          <w:szCs w:val="20"/>
        </w:rPr>
      </w:pPr>
      <w:r w:rsidDel="00000000" w:rsidR="00000000" w:rsidRPr="00000000">
        <w:rPr>
          <w:rFonts w:ascii="Arial" w:cs="Arial" w:eastAsia="Arial" w:hAnsi="Arial"/>
          <w:sz w:val="20"/>
          <w:szCs w:val="20"/>
          <w:rtl w:val="0"/>
        </w:rPr>
        <w:t xml:space="preserve">Recommendations to SHPA Board of Directors</w:t>
        <w:tab/>
      </w:r>
    </w:p>
    <w:p w:rsidR="00000000" w:rsidDel="00000000" w:rsidP="00000000" w:rsidRDefault="00000000" w:rsidRPr="00000000" w14:paraId="00000022">
      <w:pPr>
        <w:tabs>
          <w:tab w:val="left" w:leader="none" w:pos="460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Recommend approval of the revised policy 526 Hazing Prohibition VI</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Recommend approval of the revised policy 701.1, Modification of School Budget</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Recommend approval of the February 27, 2023, Governance Committee meeting minutes.</w:t>
      </w:r>
      <w:r w:rsidDel="00000000" w:rsidR="00000000" w:rsidRPr="00000000">
        <w:rPr>
          <w:rFonts w:ascii="Arial" w:cs="Arial" w:eastAsia="Arial" w:hAnsi="Arial"/>
          <w:color w:val="000000"/>
          <w:sz w:val="20"/>
          <w:szCs w:val="20"/>
          <w:rtl w:val="0"/>
        </w:rPr>
        <w:t xml:space="preserve">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cantSplit w:val="0"/>
        <w:tblHeader w:val="0"/>
      </w:trPr>
      <w:tc>
        <w:tcPr>
          <w:tcBorders>
            <w:top w:color="001a70" w:space="0" w:sz="24" w:val="single"/>
          </w:tcBorders>
          <w:shd w:fill="auto" w:val="clear"/>
        </w:tcPr>
        <w:p w:rsidR="00000000" w:rsidDel="00000000" w:rsidP="00000000" w:rsidRDefault="00000000" w:rsidRPr="00000000" w14:paraId="00000030">
          <w:pPr>
            <w:spacing w:before="120" w:lineRule="auto"/>
            <w:rPr>
              <w:rFonts w:ascii="Gill Sans" w:cs="Gill Sans" w:eastAsia="Gill Sans" w:hAnsi="Gill Sans"/>
              <w:color w:val="001a70"/>
              <w:sz w:val="20"/>
              <w:szCs w:val="20"/>
            </w:rPr>
          </w:pPr>
          <w:r w:rsidDel="00000000" w:rsidR="00000000" w:rsidRPr="00000000">
            <w:rPr>
              <w:rFonts w:ascii="Gill Sans" w:cs="Gill Sans" w:eastAsia="Gill Sans" w:hAnsi="Gill Sans"/>
              <w:b w:val="1"/>
              <w:color w:val="001a70"/>
              <w:sz w:val="20"/>
              <w:szCs w:val="20"/>
              <w:rtl w:val="0"/>
            </w:rPr>
            <w:t xml:space="preserve">BLOOMINGTON CAMPUS</w:t>
          </w:r>
          <w:r w:rsidDel="00000000" w:rsidR="00000000" w:rsidRPr="00000000">
            <w:rPr>
              <w:rFonts w:ascii="Gill Sans" w:cs="Gill Sans" w:eastAsia="Gill Sans" w:hAnsi="Gill Sans"/>
              <w:color w:val="001a70"/>
              <w:sz w:val="20"/>
              <w:szCs w:val="20"/>
              <w:rtl w:val="0"/>
            </w:rPr>
            <w:t xml:space="preserve">: 8600 Bloomington Ave. S., Bloomington, MN 55425 | Office: (952) 426-6000, Fax: (952) 426-6020</w:t>
          </w:r>
        </w:p>
        <w:p w:rsidR="00000000" w:rsidDel="00000000" w:rsidP="00000000" w:rsidRDefault="00000000" w:rsidRPr="00000000" w14:paraId="00000031">
          <w:pPr>
            <w:spacing w:before="120" w:line="360" w:lineRule="auto"/>
            <w:jc w:val="center"/>
            <w:rPr>
              <w:rFonts w:ascii="Gill Sans" w:cs="Gill Sans" w:eastAsia="Gill Sans" w:hAnsi="Gill Sans"/>
              <w:color w:val="001a70"/>
              <w:sz w:val="20"/>
              <w:szCs w:val="20"/>
            </w:rPr>
          </w:pPr>
          <w:r w:rsidDel="00000000" w:rsidR="00000000" w:rsidRPr="00000000">
            <w:rPr>
              <w:rFonts w:ascii="Gill Sans" w:cs="Gill Sans" w:eastAsia="Gill Sans" w:hAnsi="Gill Sans"/>
              <w:b w:val="1"/>
              <w:color w:val="001a70"/>
              <w:sz w:val="20"/>
              <w:szCs w:val="20"/>
              <w:rtl w:val="0"/>
            </w:rPr>
            <w:t xml:space="preserve">RICHFIELD CAMPUS</w:t>
          </w:r>
          <w:r w:rsidDel="00000000" w:rsidR="00000000" w:rsidRPr="00000000">
            <w:rPr>
              <w:rFonts w:ascii="Gill Sans" w:cs="Gill Sans" w:eastAsia="Gill Sans" w:hAnsi="Gill Sans"/>
              <w:color w:val="001a70"/>
              <w:sz w:val="20"/>
              <w:szCs w:val="20"/>
              <w:rtl w:val="0"/>
            </w:rPr>
            <w:t xml:space="preserve">: 1401 West 76</w:t>
          </w:r>
          <w:r w:rsidDel="00000000" w:rsidR="00000000" w:rsidRPr="00000000">
            <w:rPr>
              <w:rFonts w:ascii="Gill Sans" w:cs="Gill Sans" w:eastAsia="Gill Sans" w:hAnsi="Gill Sans"/>
              <w:color w:val="001a70"/>
              <w:sz w:val="20"/>
              <w:szCs w:val="20"/>
              <w:vertAlign w:val="superscript"/>
              <w:rtl w:val="0"/>
            </w:rPr>
            <w:t xml:space="preserve">th</w:t>
          </w:r>
          <w:r w:rsidDel="00000000" w:rsidR="00000000" w:rsidRPr="00000000">
            <w:rPr>
              <w:rFonts w:ascii="Gill Sans" w:cs="Gill Sans" w:eastAsia="Gill Sans" w:hAnsi="Gill Sans"/>
              <w:color w:val="001a70"/>
              <w:sz w:val="20"/>
              <w:szCs w:val="20"/>
              <w:rtl w:val="0"/>
            </w:rPr>
            <w:t xml:space="preserve"> Street, Richfield, MN 55423 | Office: (612) 314-7600, Fax: (612) 314-7609</w:t>
          </w:r>
        </w:p>
      </w:tc>
    </w:tr>
    <w:tr>
      <w:trPr>
        <w:cantSplit w:val="0"/>
        <w:trHeight w:val="234" w:hRule="atLeast"/>
        <w:tblHeader w:val="0"/>
      </w:trPr>
      <w:tc>
        <w:tcPr>
          <w:shd w:fill="auto" w:val="clear"/>
        </w:tcPr>
        <w:p w:rsidR="00000000" w:rsidDel="00000000" w:rsidP="00000000" w:rsidRDefault="00000000" w:rsidRPr="00000000" w14:paraId="00000032">
          <w:pPr>
            <w:jc w:val="center"/>
            <w:rPr>
              <w:rFonts w:ascii="Gill Sans" w:cs="Gill Sans" w:eastAsia="Gill Sans" w:hAnsi="Gill Sans"/>
              <w:b w:val="1"/>
              <w:color w:val="001a70"/>
              <w:sz w:val="20"/>
              <w:szCs w:val="20"/>
            </w:rPr>
          </w:pPr>
          <w:r w:rsidDel="00000000" w:rsidR="00000000" w:rsidRPr="00000000">
            <w:rPr>
              <w:rFonts w:ascii="Gill Sans" w:cs="Gill Sans" w:eastAsia="Gill Sans" w:hAnsi="Gill Sans"/>
              <w:b w:val="1"/>
              <w:color w:val="001a70"/>
              <w:rtl w:val="0"/>
            </w:rPr>
            <w:t xml:space="preserve">www.sevenhillspreparatoryacademy.org</w:t>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bl>
    <w:tblPr>
      <w:tblStyle w:val="Table1"/>
      <w:tblW w:w="44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tblGridChange w:id="0">
        <w:tblGrid>
          <w:gridCol w:w="4428"/>
        </w:tblGrid>
      </w:tblGridChange>
    </w:tblGrid>
    <w:tr>
      <w:trPr>
        <w:cantSplit w:val="0"/>
        <w:trHeight w:val="630" w:hRule="atLeast"/>
        <w:tblHeader w:val="0"/>
      </w:trPr>
      <w:tc>
        <w:tcPr>
          <w:shd w:fill="auto" w:val="clear"/>
        </w:tcPr>
        <w:p w:rsidR="00000000" w:rsidDel="00000000" w:rsidP="00000000" w:rsidRDefault="00000000" w:rsidRPr="00000000" w14:paraId="00000027">
          <w:pPr>
            <w:jc w:val="center"/>
            <w:rPr>
              <w:rFonts w:ascii="Gill Sans" w:cs="Gill Sans" w:eastAsia="Gill Sans" w:hAnsi="Gill Sans"/>
              <w:i w:val="1"/>
              <w:color w:val="001a70"/>
              <w:sz w:val="28"/>
              <w:szCs w:val="28"/>
              <w:highlight w:val="white"/>
            </w:rPr>
          </w:pPr>
          <w:r w:rsidDel="00000000" w:rsidR="00000000" w:rsidRPr="00000000">
            <w:rPr>
              <w:rFonts w:ascii="Gill Sans" w:cs="Gill Sans" w:eastAsia="Gill Sans" w:hAnsi="Gill Sans"/>
              <w:i w:val="1"/>
              <w:color w:val="001a70"/>
              <w:sz w:val="28"/>
              <w:szCs w:val="28"/>
              <w:highlight w:val="white"/>
              <w:rtl w:val="0"/>
            </w:rPr>
            <w:t xml:space="preserve">Modesta Philologia. Fida Humanitas.</w:t>
          </w:r>
        </w:p>
        <w:p w:rsidR="00000000" w:rsidDel="00000000" w:rsidP="00000000" w:rsidRDefault="00000000" w:rsidRPr="00000000" w14:paraId="00000028">
          <w:pPr>
            <w:jc w:val="center"/>
            <w:rPr>
              <w:rFonts w:ascii="Gill Sans" w:cs="Gill Sans" w:eastAsia="Gill Sans" w:hAnsi="Gill Sans"/>
              <w:i w:val="1"/>
              <w:color w:val="001a70"/>
              <w:highlight w:val="white"/>
            </w:rPr>
          </w:pPr>
          <w:r w:rsidDel="00000000" w:rsidR="00000000" w:rsidRPr="00000000">
            <w:rPr>
              <w:rFonts w:ascii="Gill Sans" w:cs="Gill Sans" w:eastAsia="Gill Sans" w:hAnsi="Gill Sans"/>
              <w:i w:val="1"/>
              <w:color w:val="001a70"/>
              <w:highlight w:val="white"/>
              <w:rtl w:val="0"/>
            </w:rPr>
            <w:t xml:space="preserve">Disciplined Learning. Responsible Citizenship.</w:t>
          </w:r>
        </w:p>
      </w:tc>
    </w:tr>
  </w:tbl>
  <w:p w:rsidR="00000000" w:rsidDel="00000000" w:rsidP="00000000" w:rsidRDefault="00000000" w:rsidRPr="00000000" w14:paraId="00000029">
    <w:pPr>
      <w:jc w:val="right"/>
      <w:rPr>
        <w:rFonts w:ascii="Gill Sans" w:cs="Gill Sans" w:eastAsia="Gill Sans" w:hAnsi="Gill Sans"/>
        <w:i w:val="1"/>
        <w:color w:val="001a70"/>
        <w:sz w:val="30"/>
        <w:szCs w:val="3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-571496</wp:posOffset>
          </wp:positionH>
          <wp:positionV relativeFrom="paragraph">
            <wp:posOffset>-113025</wp:posOffset>
          </wp:positionV>
          <wp:extent cx="2286000" cy="6858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685800"/>
                  </a:xfrm>
                  <a:prstGeom prst="rect"/>
                  <a:ln/>
                </pic:spPr>
              </pic:pic>
            </a:graphicData>
          </a:graphic>
        </wp:anchor>
      </w:drawing>
    </w:r>
  </w:p>
  <w:p w:rsidR="00000000" w:rsidDel="00000000" w:rsidP="00000000" w:rsidRDefault="00000000" w:rsidRPr="00000000" w14:paraId="0000002A">
    <w:pPr>
      <w:tabs>
        <w:tab w:val="left" w:leader="none" w:pos="350"/>
      </w:tabs>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ab/>
    </w:r>
  </w:p>
  <w:p w:rsidR="00000000" w:rsidDel="00000000" w:rsidP="00000000" w:rsidRDefault="00000000" w:rsidRPr="00000000" w14:paraId="0000002B">
    <w:pPr>
      <w:rPr>
        <w:rFonts w:ascii="Gill Sans" w:cs="Gill Sans" w:eastAsia="Gill Sans" w:hAnsi="Gill Sans"/>
      </w:rPr>
    </w:pPr>
    <w:r w:rsidDel="00000000" w:rsidR="00000000" w:rsidRPr="00000000">
      <w:rPr>
        <w:rtl w:val="0"/>
      </w:rPr>
    </w:r>
  </w:p>
  <w:tbl>
    <w:tblPr>
      <w:tblStyle w:val="Table2"/>
      <w:tblW w:w="108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41" w:hRule="atLeast"/>
        <w:tblHeader w:val="0"/>
      </w:trPr>
      <w:tc>
        <w:tcPr>
          <w:tcBorders>
            <w:top w:color="001a70" w:space="0" w:sz="24" w:val="single"/>
            <w:left w:color="000000" w:space="0" w:sz="0" w:val="nil"/>
            <w:bottom w:color="ecc558" w:space="0" w:sz="12" w:val="single"/>
            <w:right w:color="000000" w:space="0" w:sz="0" w:val="nil"/>
          </w:tcBorders>
          <w:shd w:fill="auto" w:val="clear"/>
        </w:tcPr>
        <w:p w:rsidR="00000000" w:rsidDel="00000000" w:rsidP="00000000" w:rsidRDefault="00000000" w:rsidRPr="00000000" w14:paraId="0000002C">
          <w:pPr>
            <w:rPr>
              <w:rFonts w:ascii="Gill Sans" w:cs="Gill Sans" w:eastAsia="Gill Sans" w:hAnsi="Gill Sans"/>
              <w:i w:val="1"/>
              <w:color w:val="001a70"/>
              <w:sz w:val="2"/>
              <w:szCs w:val="2"/>
            </w:rPr>
          </w:pPr>
          <w:r w:rsidDel="00000000" w:rsidR="00000000" w:rsidRPr="00000000">
            <w:rPr>
              <w:rtl w:val="0"/>
            </w:rPr>
          </w:r>
        </w:p>
      </w:tc>
    </w:tr>
    <w:tr>
      <w:trPr>
        <w:cantSplit w:val="0"/>
        <w:trHeight w:val="90" w:hRule="atLeast"/>
        <w:tblHeader w:val="0"/>
      </w:trPr>
      <w:tc>
        <w:tcPr>
          <w:tcBorders>
            <w:top w:color="ecc558" w:space="0" w:sz="12"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2D">
          <w:pPr>
            <w:rPr>
              <w:rFonts w:ascii="Gill Sans" w:cs="Gill Sans" w:eastAsia="Gill Sans" w:hAnsi="Gill Sans"/>
              <w:i w:val="1"/>
              <w:color w:val="001a70"/>
              <w:sz w:val="2"/>
              <w:szCs w:val="2"/>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rFonts w:ascii="Arial" w:cs="Arial" w:eastAsia="Arial" w:hAnsi="Arial"/>
        <w:color w:val="000000"/>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F173E"/>
    <w:pPr>
      <w:tabs>
        <w:tab w:val="center" w:pos="4680"/>
        <w:tab w:val="right" w:pos="9360"/>
      </w:tabs>
    </w:pPr>
  </w:style>
  <w:style w:type="character" w:styleId="HeaderChar" w:customStyle="1">
    <w:name w:val="Header Char"/>
    <w:basedOn w:val="DefaultParagraphFont"/>
    <w:link w:val="Header"/>
    <w:uiPriority w:val="99"/>
    <w:rsid w:val="003F173E"/>
  </w:style>
  <w:style w:type="paragraph" w:styleId="Footer">
    <w:name w:val="footer"/>
    <w:basedOn w:val="Normal"/>
    <w:link w:val="FooterChar"/>
    <w:uiPriority w:val="99"/>
    <w:unhideWhenUsed w:val="1"/>
    <w:rsid w:val="003F173E"/>
    <w:pPr>
      <w:tabs>
        <w:tab w:val="center" w:pos="4680"/>
        <w:tab w:val="right" w:pos="9360"/>
      </w:tabs>
    </w:pPr>
  </w:style>
  <w:style w:type="character" w:styleId="FooterChar" w:customStyle="1">
    <w:name w:val="Footer Char"/>
    <w:basedOn w:val="DefaultParagraphFont"/>
    <w:link w:val="Footer"/>
    <w:uiPriority w:val="99"/>
    <w:rsid w:val="003F173E"/>
  </w:style>
  <w:style w:type="table" w:styleId="TableGrid">
    <w:name w:val="Table Grid"/>
    <w:basedOn w:val="TableNormal"/>
    <w:uiPriority w:val="59"/>
    <w:rsid w:val="00343808"/>
    <w:rPr>
      <w:rFonts w:asciiTheme="majorHAnsi" w:eastAsiaTheme="minorEastAsia" w:hAnsiTheme="maj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E3A91"/>
    <w:rPr>
      <w:color w:val="0563c1" w:themeColor="hyperlink"/>
      <w:u w:val="single"/>
    </w:rPr>
  </w:style>
  <w:style w:type="paragraph" w:styleId="ListParagraph">
    <w:name w:val="List Paragraph"/>
    <w:basedOn w:val="Normal"/>
    <w:uiPriority w:val="34"/>
    <w:qFormat w:val="1"/>
    <w:rsid w:val="006F727F"/>
    <w:pPr>
      <w:ind w:left="720"/>
      <w:contextualSpacing w:val="1"/>
    </w:pPr>
  </w:style>
  <w:style w:type="paragraph" w:styleId="NoSpacing">
    <w:name w:val="No Spacing"/>
    <w:aliases w:val="Bullet List"/>
    <w:basedOn w:val="ListParagraph"/>
    <w:uiPriority w:val="1"/>
    <w:qFormat w:val="1"/>
    <w:rsid w:val="004C453F"/>
    <w:pPr>
      <w:numPr>
        <w:numId w:val="1"/>
      </w:numPr>
      <w:spacing w:after="60"/>
      <w:ind w:left="252" w:hanging="252"/>
    </w:pPr>
    <w:rPr>
      <w:rFonts w:ascii="Gill Sans MT" w:cs="Times New Roman" w:hAnsi="Gill Sans MT" w:eastAsiaTheme="minorEastAsia"/>
      <w:sz w:val="19"/>
      <w:szCs w:val="19"/>
    </w:rPr>
  </w:style>
  <w:style w:type="paragraph" w:styleId="BalloonText">
    <w:name w:val="Balloon Text"/>
    <w:basedOn w:val="Normal"/>
    <w:link w:val="BalloonTextChar"/>
    <w:uiPriority w:val="99"/>
    <w:semiHidden w:val="1"/>
    <w:unhideWhenUsed w:val="1"/>
    <w:rsid w:val="00E313C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313C8"/>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560310"/>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JozJ1BbMIiSzJwtiHMUj2rXHRA==">AMUW2mVlxHG2JJ+WWS9pDaEf5OXz9gpQOcYcNdFvbNlmas8FA1n53z/jzevAbougCNAvrKuAKrgg3zlKFbdXJwEJe9U/lcuwmXzV09Hb7TrJ1plifVncZr4=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2022-02-27T21:21:00Z</dcterms:created>
  <dc:creator>Carl Schlueter</dc:creator>
</cp:coreProperties>
</file>